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293F0" w14:textId="4353495C" w:rsidR="00C82158" w:rsidRDefault="00C82158" w:rsidP="00C821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 w:rsidR="00CD0983">
        <w:fldChar w:fldCharType="begin"/>
      </w:r>
      <w:r w:rsidR="00CD0983">
        <w:instrText xml:space="preserve"> DOCPROPERTY  TSG/WGRef  \* MERGEFORMAT </w:instrText>
      </w:r>
      <w:r w:rsidR="00CD0983">
        <w:fldChar w:fldCharType="separate"/>
      </w:r>
      <w:r>
        <w:rPr>
          <w:b/>
          <w:noProof/>
          <w:sz w:val="24"/>
        </w:rPr>
        <w:t>RAN4</w:t>
      </w:r>
      <w:r w:rsidR="00CD098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A628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E22E36">
        <w:rPr>
          <w:b/>
          <w:noProof/>
          <w:sz w:val="24"/>
        </w:rPr>
        <w:t>R4-2</w:t>
      </w:r>
      <w:r>
        <w:rPr>
          <w:b/>
          <w:noProof/>
          <w:sz w:val="24"/>
        </w:rPr>
        <w:t>1</w:t>
      </w:r>
      <w:r w:rsidR="00266522">
        <w:rPr>
          <w:b/>
          <w:noProof/>
          <w:sz w:val="24"/>
        </w:rPr>
        <w:t>09375</w:t>
      </w:r>
    </w:p>
    <w:p w14:paraId="15F253C1" w14:textId="43EF988B" w:rsidR="00C82158" w:rsidRDefault="00CD0983" w:rsidP="00C8215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8215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82158">
        <w:rPr>
          <w:b/>
          <w:noProof/>
          <w:sz w:val="24"/>
        </w:rPr>
        <w:t xml:space="preserve">, </w:t>
      </w:r>
      <w:r w:rsidR="00C82158">
        <w:fldChar w:fldCharType="begin"/>
      </w:r>
      <w:r w:rsidR="00C82158">
        <w:instrText xml:space="preserve"> DOCPROPERTY  Country  \* MERGEFORMAT </w:instrText>
      </w:r>
      <w:r w:rsidR="00C82158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A6287">
        <w:rPr>
          <w:b/>
          <w:noProof/>
          <w:sz w:val="24"/>
        </w:rPr>
        <w:t>May</w:t>
      </w:r>
      <w:r w:rsidR="00C82158">
        <w:rPr>
          <w:b/>
          <w:noProof/>
          <w:sz w:val="24"/>
        </w:rPr>
        <w:t xml:space="preserve"> 1</w:t>
      </w:r>
      <w:r w:rsidR="009A6287">
        <w:rPr>
          <w:b/>
          <w:noProof/>
          <w:sz w:val="24"/>
        </w:rPr>
        <w:t>9</w:t>
      </w:r>
      <w:r w:rsidR="00C82158">
        <w:rPr>
          <w:b/>
          <w:noProof/>
          <w:sz w:val="24"/>
        </w:rPr>
        <w:t xml:space="preserve"> - 2</w:t>
      </w:r>
      <w:r w:rsidR="009A6287">
        <w:rPr>
          <w:b/>
          <w:noProof/>
          <w:sz w:val="24"/>
        </w:rPr>
        <w:t>7</w:t>
      </w:r>
      <w:r w:rsidR="00C82158">
        <w:rPr>
          <w:b/>
          <w:noProof/>
          <w:sz w:val="24"/>
        </w:rPr>
        <w:t>,</w:t>
      </w:r>
      <w:r w:rsidR="00C82158" w:rsidRPr="00BA51D9">
        <w:rPr>
          <w:b/>
          <w:noProof/>
          <w:sz w:val="24"/>
        </w:rPr>
        <w:t xml:space="preserve"> 20</w:t>
      </w:r>
      <w:r w:rsidR="00C82158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</w:p>
    <w:p w14:paraId="39A0EE25" w14:textId="01FFEF2C" w:rsidR="00D309CC" w:rsidRDefault="00D46431" w:rsidP="00C82158">
      <w:pPr>
        <w:pStyle w:val="CH"/>
        <w:tabs>
          <w:tab w:val="clear" w:pos="7920"/>
        </w:tabs>
        <w:rPr>
          <w:b w:val="0"/>
        </w:rPr>
      </w:pPr>
      <w:r>
        <w:tab/>
      </w:r>
    </w:p>
    <w:p w14:paraId="6DDCE159" w14:textId="0E62872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266522">
        <w:t>9</w:t>
      </w:r>
      <w:r w:rsidR="00C82158">
        <w:t>.1</w:t>
      </w:r>
      <w:r w:rsidR="00266522">
        <w:t>5</w:t>
      </w:r>
      <w:r w:rsidR="00C82158">
        <w:t>.</w:t>
      </w:r>
      <w:r w:rsidR="00181B43">
        <w:t>7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37F09C87" w:rsidR="00D309CC" w:rsidRDefault="00D309CC" w:rsidP="00112D80">
      <w:pPr>
        <w:pStyle w:val="CH"/>
        <w:ind w:left="2268" w:hanging="2268"/>
      </w:pPr>
      <w:r w:rsidRPr="0008103A">
        <w:t>Title:</w:t>
      </w:r>
      <w:r w:rsidRPr="0008103A">
        <w:tab/>
      </w:r>
      <w:r w:rsidR="00300BA9">
        <w:t>On</w:t>
      </w:r>
      <w:r w:rsidR="00A255D6" w:rsidRPr="00A255D6">
        <w:t xml:space="preserve"> the frequency range </w:t>
      </w:r>
      <w:r w:rsidR="00D857BA">
        <w:t xml:space="preserve">of </w:t>
      </w:r>
      <w:r w:rsidR="00A255D6" w:rsidRPr="00A255D6">
        <w:t>52.6 GHz to 71 GHz</w:t>
      </w:r>
    </w:p>
    <w:p w14:paraId="052B1E0C" w14:textId="0C8D921B" w:rsidR="00104BC6" w:rsidRDefault="00104BC6" w:rsidP="00D309CC">
      <w:pPr>
        <w:pStyle w:val="CH"/>
      </w:pPr>
      <w:r>
        <w:t>WI/SI:</w:t>
      </w:r>
      <w:r>
        <w:tab/>
      </w:r>
      <w:r w:rsidR="00112D80" w:rsidRPr="00112D80">
        <w:t>FS_NR_52_to_71GHz</w:t>
      </w:r>
    </w:p>
    <w:p w14:paraId="6C6D1281" w14:textId="205E24E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112D80">
        <w:t>Rel-</w:t>
      </w:r>
      <w:r w:rsidR="00112D80" w:rsidRPr="00112D80">
        <w:t>17</w:t>
      </w:r>
    </w:p>
    <w:p w14:paraId="2E4E044D" w14:textId="0BD8F9AD" w:rsidR="00D309CC" w:rsidRDefault="00D309CC" w:rsidP="00D309CC">
      <w:pPr>
        <w:pStyle w:val="CH"/>
      </w:pPr>
      <w:r>
        <w:t>Document for:</w:t>
      </w:r>
      <w:r>
        <w:tab/>
      </w:r>
      <w:r w:rsidR="00262167">
        <w:t>App</w:t>
      </w:r>
      <w:r w:rsidR="00D857BA">
        <w:t>r</w:t>
      </w:r>
      <w:r w:rsidR="00262167">
        <w:t>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0A1A91E8" w:rsidR="008E7986" w:rsidRDefault="008E7986" w:rsidP="00E22E04">
      <w:pPr>
        <w:pStyle w:val="Heading1"/>
        <w:numPr>
          <w:ilvl w:val="0"/>
          <w:numId w:val="15"/>
        </w:numPr>
      </w:pPr>
      <w:r w:rsidRPr="004D3578">
        <w:t>Introduction</w:t>
      </w:r>
      <w:r>
        <w:t xml:space="preserve"> </w:t>
      </w:r>
    </w:p>
    <w:p w14:paraId="52B5588C" w14:textId="790BBC56" w:rsidR="00E22E04" w:rsidRDefault="00DD03DF" w:rsidP="00DD03DF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In RAN#90e, it was agreed in the revised WID [1] that </w:t>
      </w:r>
    </w:p>
    <w:p w14:paraId="52FAACDF" w14:textId="77777777" w:rsidR="00E22E04" w:rsidRPr="00C82158" w:rsidRDefault="00E22E04" w:rsidP="00262167">
      <w:pPr>
        <w:pStyle w:val="B2"/>
        <w:ind w:left="284" w:firstLine="0"/>
        <w:rPr>
          <w:i/>
          <w:iCs/>
          <w:sz w:val="20"/>
          <w:szCs w:val="20"/>
        </w:rPr>
      </w:pPr>
      <w:bookmarkStart w:id="1" w:name="_Hlk58594589"/>
      <w:r w:rsidRPr="00C82158">
        <w:rPr>
          <w:rFonts w:hint="eastAsia"/>
          <w:i/>
          <w:iCs/>
          <w:sz w:val="20"/>
          <w:szCs w:val="20"/>
          <w:highlight w:val="yellow"/>
        </w:rPr>
        <w:t>Note</w:t>
      </w:r>
      <w:r w:rsidRPr="00C82158">
        <w:rPr>
          <w:i/>
          <w:iCs/>
          <w:sz w:val="20"/>
          <w:szCs w:val="20"/>
          <w:highlight w:val="yellow"/>
        </w:rPr>
        <w:t xml:space="preserve"> 5</w:t>
      </w:r>
      <w:r w:rsidRPr="00C82158">
        <w:rPr>
          <w:rFonts w:hint="eastAsia"/>
          <w:i/>
          <w:iCs/>
          <w:sz w:val="20"/>
          <w:szCs w:val="20"/>
          <w:highlight w:val="yellow"/>
        </w:rPr>
        <w:t xml:space="preserve">: RAN plenary will decide </w:t>
      </w:r>
      <w:bookmarkEnd w:id="1"/>
      <w:r w:rsidRPr="00C82158">
        <w:rPr>
          <w:rFonts w:hint="eastAsia"/>
          <w:i/>
          <w:iCs/>
          <w:sz w:val="20"/>
          <w:szCs w:val="20"/>
          <w:highlight w:val="yellow"/>
        </w:rPr>
        <w:t>whether new FR (e.g. FR3) shall be defined for the frequency range from 52.6GHz-71GHz or the existing FR2 shall be extended to cover frequency range from 52.6GHz-71GHz.</w:t>
      </w:r>
    </w:p>
    <w:p w14:paraId="527914AA" w14:textId="0FD055A0" w:rsidR="00E22E04" w:rsidRPr="00E22E04" w:rsidRDefault="00E22E04" w:rsidP="00E22E04">
      <w:pPr>
        <w:rPr>
          <w:lang w:eastAsia="en-US"/>
        </w:rPr>
      </w:pPr>
    </w:p>
    <w:p w14:paraId="6913FB29" w14:textId="689116B3" w:rsidR="00DD03DF" w:rsidRDefault="00DD03DF" w:rsidP="00112A20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Such decision made is mainly from the consideration of the </w:t>
      </w:r>
      <w:r w:rsidRPr="00DD03DF">
        <w:rPr>
          <w:sz w:val="20"/>
          <w:szCs w:val="20"/>
        </w:rPr>
        <w:t>RAN4’s workload</w:t>
      </w:r>
      <w:r>
        <w:rPr>
          <w:sz w:val="20"/>
          <w:szCs w:val="20"/>
        </w:rPr>
        <w:t xml:space="preserve">. The related issues have been discussed in both RAN#90e and RAN4#98e and opinions from interested companies are quite diverged. </w:t>
      </w:r>
    </w:p>
    <w:p w14:paraId="2120C82A" w14:textId="6F50ACD5" w:rsidR="00C82158" w:rsidRDefault="00C82158" w:rsidP="00112A20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In RAN#91e, this issue is further </w:t>
      </w:r>
      <w:proofErr w:type="gramStart"/>
      <w:r>
        <w:rPr>
          <w:sz w:val="20"/>
          <w:szCs w:val="20"/>
        </w:rPr>
        <w:t>discussed</w:t>
      </w:r>
      <w:proofErr w:type="gramEnd"/>
      <w:r>
        <w:rPr>
          <w:sz w:val="20"/>
          <w:szCs w:val="20"/>
        </w:rPr>
        <w:t xml:space="preserve"> and it is agreed that </w:t>
      </w:r>
    </w:p>
    <w:p w14:paraId="32996118" w14:textId="689BD0A8" w:rsidR="00C82158" w:rsidRPr="00C82158" w:rsidRDefault="00C82158" w:rsidP="00C82158">
      <w:pPr>
        <w:spacing w:before="100" w:beforeAutospacing="1" w:after="100" w:afterAutospacing="1"/>
        <w:ind w:left="284"/>
        <w:rPr>
          <w:i/>
          <w:iCs/>
          <w:sz w:val="20"/>
          <w:szCs w:val="20"/>
        </w:rPr>
      </w:pPr>
      <w:r w:rsidRPr="00C82158">
        <w:rPr>
          <w:i/>
          <w:iCs/>
          <w:sz w:val="20"/>
          <w:szCs w:val="20"/>
          <w:highlight w:val="yellow"/>
        </w:rPr>
        <w:t>As an agreement in RAN#91e, RAN1, RAN2 and RAN4 are asked to provide its analysis or recommendation to RAN#92E (June) on how to introduce the 52.6-71GHz frequency range</w:t>
      </w:r>
    </w:p>
    <w:p w14:paraId="1690F9A4" w14:textId="6C70D672" w:rsidR="00C82158" w:rsidRDefault="00C82158" w:rsidP="00112A20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Based on the discussion in RAN#91e, the possible options include</w:t>
      </w:r>
    </w:p>
    <w:p w14:paraId="04CA359E" w14:textId="6C2F9D4C" w:rsidR="00C82158" w:rsidRDefault="00C82158" w:rsidP="00C82158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Option 1: r</w:t>
      </w:r>
      <w:r w:rsidRPr="00C82158">
        <w:rPr>
          <w:sz w:val="20"/>
          <w:szCs w:val="20"/>
        </w:rPr>
        <w:t>eus</w:t>
      </w:r>
      <w:r>
        <w:rPr>
          <w:sz w:val="20"/>
          <w:szCs w:val="20"/>
        </w:rPr>
        <w:t>e</w:t>
      </w:r>
      <w:r w:rsidRPr="00C82158">
        <w:rPr>
          <w:sz w:val="20"/>
          <w:szCs w:val="20"/>
        </w:rPr>
        <w:t xml:space="preserve"> FR2 for cover the new frequency range 52.6-71GHz</w:t>
      </w:r>
    </w:p>
    <w:p w14:paraId="097CF927" w14:textId="4811C140" w:rsidR="00C82158" w:rsidRDefault="00C82158" w:rsidP="00C82158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Option 2: </w:t>
      </w:r>
      <w:r w:rsidRPr="00C82158">
        <w:rPr>
          <w:sz w:val="20"/>
          <w:szCs w:val="20"/>
        </w:rPr>
        <w:t>introduc</w:t>
      </w:r>
      <w:r>
        <w:rPr>
          <w:sz w:val="20"/>
          <w:szCs w:val="20"/>
        </w:rPr>
        <w:t>e</w:t>
      </w:r>
      <w:r w:rsidRPr="00C82158">
        <w:rPr>
          <w:sz w:val="20"/>
          <w:szCs w:val="20"/>
        </w:rPr>
        <w:t xml:space="preserve"> new FR3</w:t>
      </w:r>
      <w:r>
        <w:rPr>
          <w:sz w:val="20"/>
          <w:szCs w:val="20"/>
        </w:rPr>
        <w:t xml:space="preserve"> </w:t>
      </w:r>
      <w:r w:rsidRPr="00C82158">
        <w:rPr>
          <w:sz w:val="20"/>
          <w:szCs w:val="20"/>
        </w:rPr>
        <w:t>for the new frequency range 52.6-71GHz</w:t>
      </w:r>
    </w:p>
    <w:p w14:paraId="64551521" w14:textId="77777777" w:rsidR="00C82158" w:rsidRDefault="00C82158" w:rsidP="00C82158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Option 3a: introduce</w:t>
      </w:r>
      <w:r w:rsidRPr="00C82158">
        <w:rPr>
          <w:sz w:val="20"/>
          <w:szCs w:val="20"/>
        </w:rPr>
        <w:t xml:space="preserve"> new FR2a and FR2b notation for 24.25-52.6GHz, 52.6-71GHz, respectively</w:t>
      </w:r>
    </w:p>
    <w:p w14:paraId="3FDFB4BF" w14:textId="782E14B8" w:rsidR="00C82158" w:rsidRPr="00C82158" w:rsidRDefault="00C82158" w:rsidP="00AD2198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sz w:val="20"/>
          <w:szCs w:val="20"/>
        </w:rPr>
      </w:pPr>
      <w:r w:rsidRPr="00C82158">
        <w:rPr>
          <w:sz w:val="20"/>
          <w:szCs w:val="20"/>
        </w:rPr>
        <w:t>Option 3b: keep FR2 notation for 24.25-52.6GHz and introduce a new notation FR2a notation for 52.6-71GHz</w:t>
      </w:r>
    </w:p>
    <w:p w14:paraId="454200A4" w14:textId="2249CBD8" w:rsidR="00112A20" w:rsidRDefault="00DD03DF" w:rsidP="00112A20">
      <w:pPr>
        <w:spacing w:before="100" w:beforeAutospacing="1" w:after="100" w:afterAutospacing="1"/>
      </w:pPr>
      <w:r>
        <w:rPr>
          <w:sz w:val="20"/>
          <w:szCs w:val="20"/>
        </w:rPr>
        <w:t xml:space="preserve">In this contribution, we outline the </w:t>
      </w:r>
      <w:r w:rsidR="00C82158">
        <w:rPr>
          <w:sz w:val="20"/>
          <w:szCs w:val="20"/>
        </w:rPr>
        <w:t xml:space="preserve">pro and con of these options and the related </w:t>
      </w:r>
      <w:r>
        <w:rPr>
          <w:sz w:val="20"/>
          <w:szCs w:val="20"/>
        </w:rPr>
        <w:t xml:space="preserve">impacts </w:t>
      </w:r>
      <w:r w:rsidR="00C82158">
        <w:rPr>
          <w:sz w:val="20"/>
          <w:szCs w:val="20"/>
        </w:rPr>
        <w:t>upon</w:t>
      </w:r>
      <w:r>
        <w:rPr>
          <w:sz w:val="20"/>
          <w:szCs w:val="20"/>
        </w:rPr>
        <w:t xml:space="preserve"> the potential decision made </w:t>
      </w:r>
      <w:r w:rsidR="00C82158">
        <w:rPr>
          <w:sz w:val="20"/>
          <w:szCs w:val="20"/>
        </w:rPr>
        <w:t>among the options</w:t>
      </w:r>
      <w:r>
        <w:rPr>
          <w:sz w:val="20"/>
          <w:szCs w:val="20"/>
        </w:rPr>
        <w:t xml:space="preserve">. </w:t>
      </w:r>
    </w:p>
    <w:p w14:paraId="29949B68" w14:textId="7BE01174" w:rsidR="00C82158" w:rsidRDefault="00C82158" w:rsidP="00C82158">
      <w:pPr>
        <w:pStyle w:val="Heading1"/>
        <w:rPr>
          <w:lang w:val="en-US"/>
        </w:rPr>
      </w:pPr>
      <w:r>
        <w:t>2</w:t>
      </w:r>
      <w:r>
        <w:tab/>
        <w:t>On the options to define</w:t>
      </w:r>
      <w:r w:rsidRPr="00300BA9">
        <w:rPr>
          <w:lang w:val="en-US"/>
        </w:rPr>
        <w:t xml:space="preserve"> the frequency range 52.6 GHz to 71 GHz</w:t>
      </w:r>
    </w:p>
    <w:p w14:paraId="5E0A775D" w14:textId="4053491B" w:rsidR="00A87279" w:rsidRDefault="00A87279" w:rsidP="00A87279">
      <w:pPr>
        <w:rPr>
          <w:sz w:val="20"/>
          <w:szCs w:val="20"/>
        </w:rPr>
      </w:pPr>
      <w:r>
        <w:rPr>
          <w:sz w:val="20"/>
          <w:szCs w:val="20"/>
        </w:rPr>
        <w:t xml:space="preserve">Based on the discussion in RAN4#98bis, it seems option 1 and 2 are less preferable. For option 1, it is pre-mature to assume all FR2 requirements can be extended to the new frequency ranges. For option 2, some spec maintenance issue is identified </w:t>
      </w:r>
      <w:r w:rsidR="009C0E43">
        <w:rPr>
          <w:sz w:val="20"/>
          <w:szCs w:val="20"/>
        </w:rPr>
        <w:t>to introduce a new frequency range, e.g. FR3. In this section, option 3a and 3b are focused.</w:t>
      </w:r>
    </w:p>
    <w:p w14:paraId="56287044" w14:textId="6867CA46" w:rsidR="009C0E43" w:rsidRDefault="009C0E43" w:rsidP="00A87279">
      <w:pPr>
        <w:rPr>
          <w:sz w:val="20"/>
          <w:szCs w:val="20"/>
        </w:rPr>
      </w:pPr>
    </w:p>
    <w:p w14:paraId="4971A7E5" w14:textId="77777777" w:rsidR="009C0E43" w:rsidRDefault="009C0E43" w:rsidP="00A87279">
      <w:pPr>
        <w:rPr>
          <w:sz w:val="20"/>
          <w:szCs w:val="20"/>
        </w:rPr>
      </w:pPr>
      <w:r>
        <w:rPr>
          <w:sz w:val="20"/>
          <w:szCs w:val="20"/>
        </w:rPr>
        <w:t>Before further investigating option 3a and 3b, the following two aspects are identified</w:t>
      </w:r>
    </w:p>
    <w:p w14:paraId="26E8E4C7" w14:textId="77777777" w:rsidR="009C0E43" w:rsidRDefault="009C0E43" w:rsidP="00A87279">
      <w:pPr>
        <w:rPr>
          <w:sz w:val="20"/>
          <w:szCs w:val="20"/>
        </w:rPr>
      </w:pPr>
    </w:p>
    <w:p w14:paraId="70C7DD02" w14:textId="38E00814" w:rsidR="009C0E43" w:rsidRDefault="009C0E43" w:rsidP="009C0E43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9C0E43">
        <w:rPr>
          <w:sz w:val="20"/>
          <w:szCs w:val="20"/>
        </w:rPr>
        <w:t>Potential confusi</w:t>
      </w:r>
      <w:r w:rsidR="00C9270B">
        <w:rPr>
          <w:sz w:val="20"/>
          <w:szCs w:val="20"/>
        </w:rPr>
        <w:t>ng relationship</w:t>
      </w:r>
      <w:r w:rsidRPr="009C0E43">
        <w:rPr>
          <w:sz w:val="20"/>
          <w:szCs w:val="20"/>
        </w:rPr>
        <w:t xml:space="preserve"> between </w:t>
      </w:r>
      <w:r w:rsidR="00C9270B">
        <w:rPr>
          <w:sz w:val="20"/>
          <w:szCs w:val="20"/>
        </w:rPr>
        <w:t>“</w:t>
      </w:r>
      <w:r w:rsidRPr="009C0E43">
        <w:rPr>
          <w:sz w:val="20"/>
          <w:szCs w:val="20"/>
        </w:rPr>
        <w:t>FR2</w:t>
      </w:r>
      <w:r w:rsidR="00C9270B">
        <w:rPr>
          <w:sz w:val="20"/>
          <w:szCs w:val="20"/>
        </w:rPr>
        <w:t>”</w:t>
      </w:r>
      <w:r w:rsidRPr="009C0E43">
        <w:rPr>
          <w:sz w:val="20"/>
          <w:szCs w:val="20"/>
        </w:rPr>
        <w:t xml:space="preserve"> and </w:t>
      </w:r>
      <w:r w:rsidR="00C9270B">
        <w:rPr>
          <w:sz w:val="20"/>
          <w:szCs w:val="20"/>
        </w:rPr>
        <w:t>“</w:t>
      </w:r>
      <w:r w:rsidRPr="009C0E43">
        <w:rPr>
          <w:sz w:val="20"/>
          <w:szCs w:val="20"/>
        </w:rPr>
        <w:t>FR2a</w:t>
      </w:r>
      <w:r w:rsidR="00C9270B">
        <w:rPr>
          <w:sz w:val="20"/>
          <w:szCs w:val="20"/>
        </w:rPr>
        <w:t>”</w:t>
      </w:r>
    </w:p>
    <w:p w14:paraId="70C22023" w14:textId="77777777" w:rsidR="00F6199D" w:rsidRPr="009C0E43" w:rsidRDefault="00F6199D" w:rsidP="00F6199D">
      <w:pPr>
        <w:pStyle w:val="ListParagraph"/>
        <w:rPr>
          <w:sz w:val="20"/>
          <w:szCs w:val="20"/>
        </w:rPr>
      </w:pPr>
    </w:p>
    <w:p w14:paraId="59F2D9DC" w14:textId="5ED93277" w:rsidR="009C0E43" w:rsidRDefault="009C0E43" w:rsidP="009C0E43">
      <w:pPr>
        <w:rPr>
          <w:sz w:val="20"/>
          <w:szCs w:val="20"/>
        </w:rPr>
      </w:pPr>
      <w:r>
        <w:rPr>
          <w:sz w:val="20"/>
          <w:szCs w:val="20"/>
        </w:rPr>
        <w:t xml:space="preserve">In option 3b, </w:t>
      </w:r>
      <w:r w:rsidR="00F6199D">
        <w:rPr>
          <w:sz w:val="20"/>
          <w:szCs w:val="20"/>
        </w:rPr>
        <w:t>it is proposed to introduce new notation of FR2a while keeping the existing FR2. However, it may introduce some confusion if FR2a is considered as a subset of FR2.</w:t>
      </w:r>
      <w:r w:rsidR="00C9270B">
        <w:rPr>
          <w:sz w:val="20"/>
          <w:szCs w:val="20"/>
        </w:rPr>
        <w:t xml:space="preserve"> If the answer is no, it is better to clearly introduce different notations as defined in option 3a. However, if the answer is yes, we may face the situation that </w:t>
      </w:r>
      <w:r w:rsidR="00A838DB">
        <w:rPr>
          <w:sz w:val="20"/>
          <w:szCs w:val="20"/>
        </w:rPr>
        <w:t>eventually only part of existing FR2 requirements and signaling can be extended to 60GHz</w:t>
      </w:r>
      <w:r w:rsidR="00C9270B">
        <w:rPr>
          <w:sz w:val="20"/>
          <w:szCs w:val="20"/>
        </w:rPr>
        <w:t>. In this case,</w:t>
      </w:r>
      <w:r w:rsidR="00A838DB">
        <w:rPr>
          <w:sz w:val="20"/>
          <w:szCs w:val="20"/>
        </w:rPr>
        <w:t xml:space="preserve"> </w:t>
      </w:r>
      <w:r w:rsidR="00C9270B">
        <w:rPr>
          <w:sz w:val="20"/>
          <w:szCs w:val="20"/>
        </w:rPr>
        <w:t>the spec maintenance can be very challenging.</w:t>
      </w:r>
    </w:p>
    <w:p w14:paraId="4D71DCD1" w14:textId="243112BF" w:rsidR="00C9270B" w:rsidRDefault="00C9270B" w:rsidP="009C0E43">
      <w:pPr>
        <w:rPr>
          <w:sz w:val="20"/>
          <w:szCs w:val="20"/>
        </w:rPr>
      </w:pPr>
    </w:p>
    <w:p w14:paraId="1C7A1366" w14:textId="547D3117" w:rsidR="00C9270B" w:rsidRDefault="00C9270B" w:rsidP="00C9270B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Consistent notation across different WG</w:t>
      </w:r>
    </w:p>
    <w:p w14:paraId="61D10F14" w14:textId="24BFC947" w:rsidR="00C9270B" w:rsidRDefault="00C9270B" w:rsidP="00C9270B">
      <w:pPr>
        <w:rPr>
          <w:sz w:val="20"/>
          <w:szCs w:val="20"/>
        </w:rPr>
      </w:pPr>
    </w:p>
    <w:p w14:paraId="21EB3F76" w14:textId="53CDA937" w:rsidR="00D17314" w:rsidRDefault="00D17314" w:rsidP="00D17314">
      <w:pPr>
        <w:rPr>
          <w:sz w:val="20"/>
          <w:szCs w:val="20"/>
        </w:rPr>
      </w:pPr>
      <w:r w:rsidRPr="00D17314">
        <w:rPr>
          <w:sz w:val="20"/>
          <w:szCs w:val="20"/>
        </w:rPr>
        <w:lastRenderedPageBreak/>
        <w:t xml:space="preserve">In </w:t>
      </w:r>
      <w:r>
        <w:rPr>
          <w:sz w:val="20"/>
          <w:szCs w:val="20"/>
        </w:rPr>
        <w:t>T</w:t>
      </w:r>
      <w:r w:rsidRPr="00D17314">
        <w:rPr>
          <w:sz w:val="20"/>
          <w:szCs w:val="20"/>
        </w:rPr>
        <w:t>able F.3.2-1</w:t>
      </w:r>
      <w:r w:rsidRPr="00D17314">
        <w:rPr>
          <w:rFonts w:ascii="Helvetica" w:hAnsi="Helvetica" w:cs="Helvetica"/>
          <w:color w:val="000000"/>
          <w:sz w:val="20"/>
          <w:szCs w:val="20"/>
          <w:lang w:eastAsia="en-GB"/>
        </w:rPr>
        <w:t xml:space="preserve"> </w:t>
      </w:r>
      <w:r w:rsidRPr="00D17314">
        <w:rPr>
          <w:sz w:val="20"/>
          <w:szCs w:val="20"/>
        </w:rPr>
        <w:t xml:space="preserve">: Derivation of Test Requirements (Transmitter tests) of </w:t>
      </w:r>
      <w:r>
        <w:rPr>
          <w:sz w:val="20"/>
          <w:szCs w:val="20"/>
        </w:rPr>
        <w:t xml:space="preserve">RAN5 spec </w:t>
      </w:r>
      <w:r w:rsidRPr="00D17314">
        <w:rPr>
          <w:sz w:val="20"/>
          <w:szCs w:val="20"/>
        </w:rPr>
        <w:t xml:space="preserve">TS38.521-2, </w:t>
      </w:r>
      <w:r>
        <w:rPr>
          <w:sz w:val="20"/>
          <w:szCs w:val="20"/>
        </w:rPr>
        <w:t xml:space="preserve">FR2 has been further divided into three sub-FR, i.e. </w:t>
      </w:r>
      <w:r w:rsidRPr="00D17314">
        <w:rPr>
          <w:sz w:val="20"/>
          <w:szCs w:val="20"/>
        </w:rPr>
        <w:t>FR2a: 23.45GHz ≤ f ≤ 32.125GHz</w:t>
      </w:r>
      <w:r>
        <w:rPr>
          <w:sz w:val="20"/>
          <w:szCs w:val="20"/>
        </w:rPr>
        <w:t xml:space="preserve">, </w:t>
      </w:r>
      <w:r w:rsidRPr="00D17314">
        <w:rPr>
          <w:sz w:val="20"/>
          <w:szCs w:val="20"/>
        </w:rPr>
        <w:t>FR2b: 32.125GHz ≤ f ≤ 40.8GHz</w:t>
      </w:r>
      <w:r>
        <w:rPr>
          <w:sz w:val="20"/>
          <w:szCs w:val="20"/>
        </w:rPr>
        <w:t xml:space="preserve">, </w:t>
      </w:r>
      <w:r w:rsidRPr="00D17314">
        <w:rPr>
          <w:sz w:val="20"/>
          <w:szCs w:val="20"/>
        </w:rPr>
        <w:t>FR2c: 40.8GHz ≤ f ≤ 44.3GHz</w:t>
      </w:r>
      <w:r>
        <w:rPr>
          <w:sz w:val="20"/>
          <w:szCs w:val="20"/>
        </w:rPr>
        <w:t xml:space="preserve">. </w:t>
      </w:r>
      <w:r w:rsidR="005714E8">
        <w:rPr>
          <w:sz w:val="20"/>
          <w:szCs w:val="20"/>
        </w:rPr>
        <w:t>However, the motivation</w:t>
      </w:r>
      <w:r>
        <w:rPr>
          <w:sz w:val="20"/>
          <w:szCs w:val="20"/>
        </w:rPr>
        <w:t xml:space="preserve"> to introduce these sub-FR </w:t>
      </w:r>
      <w:r w:rsidR="005714E8">
        <w:rPr>
          <w:sz w:val="20"/>
          <w:szCs w:val="20"/>
        </w:rPr>
        <w:t xml:space="preserve">in RAN5 </w:t>
      </w:r>
      <w:r>
        <w:rPr>
          <w:sz w:val="20"/>
          <w:szCs w:val="20"/>
        </w:rPr>
        <w:t>is different</w:t>
      </w:r>
      <w:r w:rsidR="005714E8">
        <w:rPr>
          <w:sz w:val="20"/>
          <w:szCs w:val="20"/>
        </w:rPr>
        <w:t xml:space="preserve">. </w:t>
      </w:r>
      <w:r>
        <w:rPr>
          <w:sz w:val="20"/>
          <w:szCs w:val="20"/>
        </w:rPr>
        <w:t>To avoid unnecessary confusion on the notation</w:t>
      </w:r>
      <w:r w:rsidR="00266522">
        <w:rPr>
          <w:sz w:val="20"/>
          <w:szCs w:val="20"/>
        </w:rPr>
        <w:t xml:space="preserve"> across different WG and spec</w:t>
      </w:r>
      <w:r>
        <w:rPr>
          <w:sz w:val="20"/>
          <w:szCs w:val="20"/>
        </w:rPr>
        <w:t>, it is reasonable to take a similar approach as option 3a but not to use the ones already introduced in RAN5</w:t>
      </w:r>
      <w:r w:rsidR="00266522">
        <w:rPr>
          <w:sz w:val="20"/>
          <w:szCs w:val="20"/>
        </w:rPr>
        <w:t>.</w:t>
      </w:r>
    </w:p>
    <w:p w14:paraId="2219063C" w14:textId="3510F527" w:rsidR="00D17314" w:rsidRDefault="00D17314" w:rsidP="00D17314">
      <w:pPr>
        <w:rPr>
          <w:sz w:val="20"/>
          <w:szCs w:val="20"/>
        </w:rPr>
      </w:pPr>
    </w:p>
    <w:p w14:paraId="6699AC56" w14:textId="57610042" w:rsidR="00D17314" w:rsidRDefault="00D17314" w:rsidP="00D17314">
      <w:pPr>
        <w:rPr>
          <w:sz w:val="20"/>
          <w:szCs w:val="20"/>
        </w:rPr>
      </w:pPr>
      <w:r>
        <w:rPr>
          <w:sz w:val="20"/>
          <w:szCs w:val="20"/>
        </w:rPr>
        <w:t>As result, it is proposed</w:t>
      </w:r>
    </w:p>
    <w:p w14:paraId="3F53D86A" w14:textId="0EA23EB1" w:rsidR="00D17314" w:rsidRDefault="00D17314" w:rsidP="00D17314">
      <w:pPr>
        <w:rPr>
          <w:sz w:val="20"/>
          <w:szCs w:val="20"/>
        </w:rPr>
      </w:pPr>
    </w:p>
    <w:p w14:paraId="014BBA29" w14:textId="3B6D8DFF" w:rsidR="00D17314" w:rsidRPr="00D17314" w:rsidRDefault="00D17314" w:rsidP="00D17314">
      <w:pPr>
        <w:rPr>
          <w:b/>
          <w:bCs/>
          <w:sz w:val="20"/>
          <w:szCs w:val="20"/>
        </w:rPr>
      </w:pPr>
      <w:r w:rsidRPr="00D17314">
        <w:rPr>
          <w:b/>
          <w:bCs/>
          <w:sz w:val="20"/>
          <w:szCs w:val="20"/>
        </w:rPr>
        <w:t xml:space="preserve">Proposal: </w:t>
      </w:r>
      <w:r>
        <w:rPr>
          <w:b/>
          <w:bCs/>
          <w:sz w:val="20"/>
          <w:szCs w:val="20"/>
        </w:rPr>
        <w:t>I</w:t>
      </w:r>
      <w:r w:rsidRPr="00D17314">
        <w:rPr>
          <w:b/>
          <w:bCs/>
          <w:sz w:val="20"/>
          <w:szCs w:val="20"/>
        </w:rPr>
        <w:t>ntroduce new FR2</w:t>
      </w:r>
      <w:r>
        <w:rPr>
          <w:b/>
          <w:bCs/>
          <w:sz w:val="20"/>
          <w:szCs w:val="20"/>
        </w:rPr>
        <w:t>-1</w:t>
      </w:r>
      <w:r w:rsidRPr="00D17314">
        <w:rPr>
          <w:b/>
          <w:bCs/>
          <w:sz w:val="20"/>
          <w:szCs w:val="20"/>
        </w:rPr>
        <w:t xml:space="preserve"> and FR2</w:t>
      </w:r>
      <w:r>
        <w:rPr>
          <w:b/>
          <w:bCs/>
          <w:sz w:val="20"/>
          <w:szCs w:val="20"/>
        </w:rPr>
        <w:t>-2</w:t>
      </w:r>
      <w:r w:rsidRPr="00D17314">
        <w:rPr>
          <w:b/>
          <w:bCs/>
          <w:sz w:val="20"/>
          <w:szCs w:val="20"/>
        </w:rPr>
        <w:t xml:space="preserve"> notation for 24.25-52.6GHz</w:t>
      </w:r>
      <w:r>
        <w:rPr>
          <w:b/>
          <w:bCs/>
          <w:sz w:val="20"/>
          <w:szCs w:val="20"/>
        </w:rPr>
        <w:t xml:space="preserve"> and</w:t>
      </w:r>
      <w:r w:rsidRPr="00D17314">
        <w:rPr>
          <w:b/>
          <w:bCs/>
          <w:sz w:val="20"/>
          <w:szCs w:val="20"/>
        </w:rPr>
        <w:t xml:space="preserve"> 52.6-71GHz, respectively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2CDE1268" w14:textId="300EA485" w:rsidR="000F3400" w:rsidRDefault="00266522" w:rsidP="00D17314">
      <w:pPr>
        <w:rPr>
          <w:sz w:val="20"/>
          <w:szCs w:val="20"/>
        </w:rPr>
      </w:pPr>
      <w:r>
        <w:rPr>
          <w:sz w:val="20"/>
          <w:szCs w:val="20"/>
        </w:rPr>
        <w:t>Based on the discussions, it is proposed</w:t>
      </w:r>
    </w:p>
    <w:p w14:paraId="3CCA4D9F" w14:textId="3810954B" w:rsidR="00266522" w:rsidRDefault="00266522" w:rsidP="00D17314">
      <w:pPr>
        <w:rPr>
          <w:sz w:val="20"/>
          <w:szCs w:val="20"/>
        </w:rPr>
      </w:pPr>
    </w:p>
    <w:p w14:paraId="7343810B" w14:textId="77777777" w:rsidR="00266522" w:rsidRPr="00D17314" w:rsidRDefault="00266522" w:rsidP="00266522">
      <w:pPr>
        <w:rPr>
          <w:b/>
          <w:bCs/>
          <w:sz w:val="20"/>
          <w:szCs w:val="20"/>
        </w:rPr>
      </w:pPr>
      <w:r w:rsidRPr="00D17314">
        <w:rPr>
          <w:b/>
          <w:bCs/>
          <w:sz w:val="20"/>
          <w:szCs w:val="20"/>
        </w:rPr>
        <w:t xml:space="preserve">Proposal: </w:t>
      </w:r>
      <w:r>
        <w:rPr>
          <w:b/>
          <w:bCs/>
          <w:sz w:val="20"/>
          <w:szCs w:val="20"/>
        </w:rPr>
        <w:t>I</w:t>
      </w:r>
      <w:r w:rsidRPr="00D17314">
        <w:rPr>
          <w:b/>
          <w:bCs/>
          <w:sz w:val="20"/>
          <w:szCs w:val="20"/>
        </w:rPr>
        <w:t>ntroduce new FR2</w:t>
      </w:r>
      <w:r>
        <w:rPr>
          <w:b/>
          <w:bCs/>
          <w:sz w:val="20"/>
          <w:szCs w:val="20"/>
        </w:rPr>
        <w:t>-1</w:t>
      </w:r>
      <w:r w:rsidRPr="00D17314">
        <w:rPr>
          <w:b/>
          <w:bCs/>
          <w:sz w:val="20"/>
          <w:szCs w:val="20"/>
        </w:rPr>
        <w:t xml:space="preserve"> and FR2</w:t>
      </w:r>
      <w:r>
        <w:rPr>
          <w:b/>
          <w:bCs/>
          <w:sz w:val="20"/>
          <w:szCs w:val="20"/>
        </w:rPr>
        <w:t>-2</w:t>
      </w:r>
      <w:r w:rsidRPr="00D17314">
        <w:rPr>
          <w:b/>
          <w:bCs/>
          <w:sz w:val="20"/>
          <w:szCs w:val="20"/>
        </w:rPr>
        <w:t xml:space="preserve"> notation for 24.25-52.6GHz</w:t>
      </w:r>
      <w:r>
        <w:rPr>
          <w:b/>
          <w:bCs/>
          <w:sz w:val="20"/>
          <w:szCs w:val="20"/>
        </w:rPr>
        <w:t xml:space="preserve"> and</w:t>
      </w:r>
      <w:r w:rsidRPr="00D17314">
        <w:rPr>
          <w:b/>
          <w:bCs/>
          <w:sz w:val="20"/>
          <w:szCs w:val="20"/>
        </w:rPr>
        <w:t xml:space="preserve"> 52.6-71GHz, respectively</w:t>
      </w:r>
    </w:p>
    <w:p w14:paraId="41BB36C8" w14:textId="0AB5ADEA" w:rsidR="005E69AE" w:rsidRDefault="005E69AE" w:rsidP="00662A4B"/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bookmarkEnd w:id="0"/>
    <w:p w14:paraId="50A569BD" w14:textId="4C8BB88F" w:rsidR="00BC4103" w:rsidRDefault="00BC4103" w:rsidP="006459B5">
      <w:pPr>
        <w:pStyle w:val="EX"/>
        <w:numPr>
          <w:ilvl w:val="0"/>
          <w:numId w:val="0"/>
        </w:numPr>
      </w:pPr>
    </w:p>
    <w:sectPr w:rsidR="00BC4103" w:rsidSect="00114E2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DC361" w14:textId="77777777" w:rsidR="00CD0983" w:rsidRDefault="00CD0983">
      <w:r>
        <w:separator/>
      </w:r>
    </w:p>
  </w:endnote>
  <w:endnote w:type="continuationSeparator" w:id="0">
    <w:p w14:paraId="2249ED58" w14:textId="77777777" w:rsidR="00CD0983" w:rsidRDefault="00CD0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6AB20" w14:textId="77777777" w:rsidR="00CD0983" w:rsidRDefault="00CD0983">
      <w:r>
        <w:separator/>
      </w:r>
    </w:p>
  </w:footnote>
  <w:footnote w:type="continuationSeparator" w:id="0">
    <w:p w14:paraId="188B9DB2" w14:textId="77777777" w:rsidR="00CD0983" w:rsidRDefault="00CD0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53B5F"/>
    <w:multiLevelType w:val="hybridMultilevel"/>
    <w:tmpl w:val="CB1C7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C5F0A"/>
    <w:multiLevelType w:val="hybridMultilevel"/>
    <w:tmpl w:val="83B05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470C19"/>
    <w:multiLevelType w:val="hybridMultilevel"/>
    <w:tmpl w:val="87C62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28B2A6C"/>
    <w:multiLevelType w:val="hybridMultilevel"/>
    <w:tmpl w:val="6CF0AF7E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F9778B"/>
    <w:multiLevelType w:val="hybridMultilevel"/>
    <w:tmpl w:val="B0E282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1CE6EDE"/>
    <w:multiLevelType w:val="hybridMultilevel"/>
    <w:tmpl w:val="1764C6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3062994"/>
    <w:multiLevelType w:val="hybridMultilevel"/>
    <w:tmpl w:val="D7DEE7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4293726"/>
    <w:multiLevelType w:val="hybridMultilevel"/>
    <w:tmpl w:val="83B05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C6CFC"/>
    <w:multiLevelType w:val="hybridMultilevel"/>
    <w:tmpl w:val="5450E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B315CA6"/>
    <w:multiLevelType w:val="hybridMultilevel"/>
    <w:tmpl w:val="38208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3"/>
  </w:num>
  <w:num w:numId="6">
    <w:abstractNumId w:val="3"/>
  </w:num>
  <w:num w:numId="7">
    <w:abstractNumId w:val="15"/>
  </w:num>
  <w:num w:numId="8">
    <w:abstractNumId w:val="5"/>
  </w:num>
  <w:num w:numId="9">
    <w:abstractNumId w:val="17"/>
  </w:num>
  <w:num w:numId="10">
    <w:abstractNumId w:val="21"/>
  </w:num>
  <w:num w:numId="11">
    <w:abstractNumId w:val="11"/>
  </w:num>
  <w:num w:numId="12">
    <w:abstractNumId w:val="9"/>
  </w:num>
  <w:num w:numId="13">
    <w:abstractNumId w:val="8"/>
  </w:num>
  <w:num w:numId="14">
    <w:abstractNumId w:val="20"/>
  </w:num>
  <w:num w:numId="15">
    <w:abstractNumId w:val="13"/>
  </w:num>
  <w:num w:numId="16">
    <w:abstractNumId w:val="19"/>
  </w:num>
  <w:num w:numId="17">
    <w:abstractNumId w:val="14"/>
  </w:num>
  <w:num w:numId="18">
    <w:abstractNumId w:val="6"/>
  </w:num>
  <w:num w:numId="19">
    <w:abstractNumId w:val="16"/>
  </w:num>
  <w:num w:numId="20">
    <w:abstractNumId w:val="1"/>
  </w:num>
  <w:num w:numId="21">
    <w:abstractNumId w:val="4"/>
  </w:num>
  <w:num w:numId="22">
    <w:abstractNumId w:val="27"/>
  </w:num>
  <w:num w:numId="23">
    <w:abstractNumId w:val="18"/>
  </w:num>
  <w:num w:numId="24">
    <w:abstractNumId w:val="26"/>
  </w:num>
  <w:num w:numId="25">
    <w:abstractNumId w:val="22"/>
  </w:num>
  <w:num w:numId="26">
    <w:abstractNumId w:val="10"/>
  </w:num>
  <w:num w:numId="27">
    <w:abstractNumId w:val="23"/>
  </w:num>
  <w:num w:numId="28">
    <w:abstractNumId w:val="12"/>
  </w:num>
  <w:num w:numId="29">
    <w:abstractNumId w:val="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C14"/>
    <w:rsid w:val="00003844"/>
    <w:rsid w:val="000129A5"/>
    <w:rsid w:val="00012A37"/>
    <w:rsid w:val="00026BD3"/>
    <w:rsid w:val="00033397"/>
    <w:rsid w:val="00040095"/>
    <w:rsid w:val="00046768"/>
    <w:rsid w:val="00051834"/>
    <w:rsid w:val="0005477E"/>
    <w:rsid w:val="00054A22"/>
    <w:rsid w:val="00062023"/>
    <w:rsid w:val="000655A6"/>
    <w:rsid w:val="00080512"/>
    <w:rsid w:val="000A365D"/>
    <w:rsid w:val="000A68F3"/>
    <w:rsid w:val="000B4E6A"/>
    <w:rsid w:val="000B7599"/>
    <w:rsid w:val="000C47C3"/>
    <w:rsid w:val="000D2AB6"/>
    <w:rsid w:val="000D2C4B"/>
    <w:rsid w:val="000D58AB"/>
    <w:rsid w:val="000E3702"/>
    <w:rsid w:val="000F14C0"/>
    <w:rsid w:val="000F3400"/>
    <w:rsid w:val="000F42F7"/>
    <w:rsid w:val="000F4BE8"/>
    <w:rsid w:val="000F5D71"/>
    <w:rsid w:val="00101EB9"/>
    <w:rsid w:val="00104BC6"/>
    <w:rsid w:val="00112A20"/>
    <w:rsid w:val="00112D80"/>
    <w:rsid w:val="00114E2C"/>
    <w:rsid w:val="00133525"/>
    <w:rsid w:val="001620A7"/>
    <w:rsid w:val="00162A8A"/>
    <w:rsid w:val="00165302"/>
    <w:rsid w:val="00181B43"/>
    <w:rsid w:val="00182F98"/>
    <w:rsid w:val="001A1513"/>
    <w:rsid w:val="001A4C42"/>
    <w:rsid w:val="001C21C3"/>
    <w:rsid w:val="001D02C2"/>
    <w:rsid w:val="001D3883"/>
    <w:rsid w:val="001F0C1D"/>
    <w:rsid w:val="001F1132"/>
    <w:rsid w:val="001F168B"/>
    <w:rsid w:val="00210943"/>
    <w:rsid w:val="00211302"/>
    <w:rsid w:val="00223E60"/>
    <w:rsid w:val="002347A2"/>
    <w:rsid w:val="00247926"/>
    <w:rsid w:val="00261DE3"/>
    <w:rsid w:val="00262167"/>
    <w:rsid w:val="002654F1"/>
    <w:rsid w:val="00266522"/>
    <w:rsid w:val="002675F0"/>
    <w:rsid w:val="00276EE4"/>
    <w:rsid w:val="002B2D3F"/>
    <w:rsid w:val="002B6339"/>
    <w:rsid w:val="002D56F3"/>
    <w:rsid w:val="002E00EE"/>
    <w:rsid w:val="00300BA9"/>
    <w:rsid w:val="00301868"/>
    <w:rsid w:val="00313A57"/>
    <w:rsid w:val="003172DC"/>
    <w:rsid w:val="00336438"/>
    <w:rsid w:val="003378AE"/>
    <w:rsid w:val="0034052F"/>
    <w:rsid w:val="0034273B"/>
    <w:rsid w:val="00345425"/>
    <w:rsid w:val="0034735C"/>
    <w:rsid w:val="0035462D"/>
    <w:rsid w:val="00357075"/>
    <w:rsid w:val="003650C3"/>
    <w:rsid w:val="0036620E"/>
    <w:rsid w:val="00370A9A"/>
    <w:rsid w:val="00371558"/>
    <w:rsid w:val="003765B8"/>
    <w:rsid w:val="00384F83"/>
    <w:rsid w:val="003A0483"/>
    <w:rsid w:val="003B1B81"/>
    <w:rsid w:val="003B4652"/>
    <w:rsid w:val="003C3971"/>
    <w:rsid w:val="003C4D69"/>
    <w:rsid w:val="003D37E2"/>
    <w:rsid w:val="003D4522"/>
    <w:rsid w:val="003E2C78"/>
    <w:rsid w:val="003E7753"/>
    <w:rsid w:val="003F07E3"/>
    <w:rsid w:val="003F6793"/>
    <w:rsid w:val="0041089F"/>
    <w:rsid w:val="00412687"/>
    <w:rsid w:val="00423334"/>
    <w:rsid w:val="00424397"/>
    <w:rsid w:val="0042668D"/>
    <w:rsid w:val="00430001"/>
    <w:rsid w:val="004345EC"/>
    <w:rsid w:val="004406A5"/>
    <w:rsid w:val="00443B1F"/>
    <w:rsid w:val="00445952"/>
    <w:rsid w:val="00472C04"/>
    <w:rsid w:val="004826A9"/>
    <w:rsid w:val="004837BD"/>
    <w:rsid w:val="004A6B02"/>
    <w:rsid w:val="004B0ECB"/>
    <w:rsid w:val="004C1601"/>
    <w:rsid w:val="004D3578"/>
    <w:rsid w:val="004E213A"/>
    <w:rsid w:val="004E3C97"/>
    <w:rsid w:val="004F0988"/>
    <w:rsid w:val="004F3340"/>
    <w:rsid w:val="004F3E3D"/>
    <w:rsid w:val="004F46DD"/>
    <w:rsid w:val="004F6220"/>
    <w:rsid w:val="00503000"/>
    <w:rsid w:val="00506787"/>
    <w:rsid w:val="005157F0"/>
    <w:rsid w:val="00520120"/>
    <w:rsid w:val="005204B4"/>
    <w:rsid w:val="005273BE"/>
    <w:rsid w:val="0053388B"/>
    <w:rsid w:val="00535773"/>
    <w:rsid w:val="00542052"/>
    <w:rsid w:val="00543E6C"/>
    <w:rsid w:val="00555534"/>
    <w:rsid w:val="00565087"/>
    <w:rsid w:val="005714E8"/>
    <w:rsid w:val="0057261C"/>
    <w:rsid w:val="00572E14"/>
    <w:rsid w:val="005930E6"/>
    <w:rsid w:val="005973BE"/>
    <w:rsid w:val="005A5986"/>
    <w:rsid w:val="005B1F1B"/>
    <w:rsid w:val="005C4000"/>
    <w:rsid w:val="005C6551"/>
    <w:rsid w:val="005D2E01"/>
    <w:rsid w:val="005D7526"/>
    <w:rsid w:val="005E69AE"/>
    <w:rsid w:val="005F4CDD"/>
    <w:rsid w:val="00602AEA"/>
    <w:rsid w:val="00607E3C"/>
    <w:rsid w:val="00614FDF"/>
    <w:rsid w:val="00623C82"/>
    <w:rsid w:val="006246A7"/>
    <w:rsid w:val="0062595A"/>
    <w:rsid w:val="00632B45"/>
    <w:rsid w:val="006343D6"/>
    <w:rsid w:val="0063543D"/>
    <w:rsid w:val="006459B5"/>
    <w:rsid w:val="00647114"/>
    <w:rsid w:val="00662A4B"/>
    <w:rsid w:val="00662A57"/>
    <w:rsid w:val="006A0145"/>
    <w:rsid w:val="006A016F"/>
    <w:rsid w:val="006A323F"/>
    <w:rsid w:val="006B30D0"/>
    <w:rsid w:val="006C0AD3"/>
    <w:rsid w:val="006C3D95"/>
    <w:rsid w:val="006C79D3"/>
    <w:rsid w:val="006E5C86"/>
    <w:rsid w:val="006F71F4"/>
    <w:rsid w:val="007059D9"/>
    <w:rsid w:val="00713C44"/>
    <w:rsid w:val="00723A44"/>
    <w:rsid w:val="00726A73"/>
    <w:rsid w:val="00734A5B"/>
    <w:rsid w:val="0074026F"/>
    <w:rsid w:val="007429F6"/>
    <w:rsid w:val="00742B5A"/>
    <w:rsid w:val="00744E76"/>
    <w:rsid w:val="00752198"/>
    <w:rsid w:val="00753881"/>
    <w:rsid w:val="007615CA"/>
    <w:rsid w:val="00774DA4"/>
    <w:rsid w:val="00781F0F"/>
    <w:rsid w:val="007851C1"/>
    <w:rsid w:val="007B462B"/>
    <w:rsid w:val="007B600E"/>
    <w:rsid w:val="007C0FC1"/>
    <w:rsid w:val="007C4A4E"/>
    <w:rsid w:val="007D53B3"/>
    <w:rsid w:val="007D5A1C"/>
    <w:rsid w:val="007D7D88"/>
    <w:rsid w:val="007E2E4B"/>
    <w:rsid w:val="007E6293"/>
    <w:rsid w:val="007F0F4A"/>
    <w:rsid w:val="008028A4"/>
    <w:rsid w:val="008038C2"/>
    <w:rsid w:val="00810E8D"/>
    <w:rsid w:val="00820B25"/>
    <w:rsid w:val="00820E0F"/>
    <w:rsid w:val="00821AEF"/>
    <w:rsid w:val="00826E3B"/>
    <w:rsid w:val="00830747"/>
    <w:rsid w:val="00833358"/>
    <w:rsid w:val="008340FF"/>
    <w:rsid w:val="008366FC"/>
    <w:rsid w:val="00841896"/>
    <w:rsid w:val="00843B15"/>
    <w:rsid w:val="008569D0"/>
    <w:rsid w:val="008768CA"/>
    <w:rsid w:val="008826B0"/>
    <w:rsid w:val="008A54F8"/>
    <w:rsid w:val="008C1634"/>
    <w:rsid w:val="008C384C"/>
    <w:rsid w:val="008D3F18"/>
    <w:rsid w:val="008E7986"/>
    <w:rsid w:val="008F15A3"/>
    <w:rsid w:val="0090271F"/>
    <w:rsid w:val="00902E23"/>
    <w:rsid w:val="00910D9E"/>
    <w:rsid w:val="009114D7"/>
    <w:rsid w:val="009125EF"/>
    <w:rsid w:val="0091348E"/>
    <w:rsid w:val="00915D75"/>
    <w:rsid w:val="00917CCB"/>
    <w:rsid w:val="00924DAC"/>
    <w:rsid w:val="00926F97"/>
    <w:rsid w:val="00935B71"/>
    <w:rsid w:val="009426F4"/>
    <w:rsid w:val="00942EC2"/>
    <w:rsid w:val="009545A1"/>
    <w:rsid w:val="009876B4"/>
    <w:rsid w:val="009A6287"/>
    <w:rsid w:val="009A758A"/>
    <w:rsid w:val="009C0E43"/>
    <w:rsid w:val="009C2C1B"/>
    <w:rsid w:val="009C47B5"/>
    <w:rsid w:val="009E4AB1"/>
    <w:rsid w:val="009F237D"/>
    <w:rsid w:val="009F2F14"/>
    <w:rsid w:val="009F37B7"/>
    <w:rsid w:val="009F4887"/>
    <w:rsid w:val="009F5E43"/>
    <w:rsid w:val="00A03460"/>
    <w:rsid w:val="00A051F0"/>
    <w:rsid w:val="00A07446"/>
    <w:rsid w:val="00A10F02"/>
    <w:rsid w:val="00A164B4"/>
    <w:rsid w:val="00A22938"/>
    <w:rsid w:val="00A255D6"/>
    <w:rsid w:val="00A26956"/>
    <w:rsid w:val="00A33E80"/>
    <w:rsid w:val="00A37271"/>
    <w:rsid w:val="00A53724"/>
    <w:rsid w:val="00A5526E"/>
    <w:rsid w:val="00A73129"/>
    <w:rsid w:val="00A76978"/>
    <w:rsid w:val="00A82346"/>
    <w:rsid w:val="00A82D1F"/>
    <w:rsid w:val="00A838DB"/>
    <w:rsid w:val="00A8668F"/>
    <w:rsid w:val="00A87279"/>
    <w:rsid w:val="00A92BA1"/>
    <w:rsid w:val="00AB7F3B"/>
    <w:rsid w:val="00AC135F"/>
    <w:rsid w:val="00AC54B7"/>
    <w:rsid w:val="00AC6BC6"/>
    <w:rsid w:val="00AD5DD7"/>
    <w:rsid w:val="00AE3797"/>
    <w:rsid w:val="00AF36D6"/>
    <w:rsid w:val="00AF4359"/>
    <w:rsid w:val="00AF4FE2"/>
    <w:rsid w:val="00AF5752"/>
    <w:rsid w:val="00B03FD0"/>
    <w:rsid w:val="00B06539"/>
    <w:rsid w:val="00B15449"/>
    <w:rsid w:val="00B16019"/>
    <w:rsid w:val="00B211C1"/>
    <w:rsid w:val="00B27217"/>
    <w:rsid w:val="00B27C15"/>
    <w:rsid w:val="00B32270"/>
    <w:rsid w:val="00B44E1F"/>
    <w:rsid w:val="00B60B51"/>
    <w:rsid w:val="00B61EEA"/>
    <w:rsid w:val="00B83171"/>
    <w:rsid w:val="00B838F7"/>
    <w:rsid w:val="00B913A1"/>
    <w:rsid w:val="00B93086"/>
    <w:rsid w:val="00BA19ED"/>
    <w:rsid w:val="00BA300B"/>
    <w:rsid w:val="00BA4B8D"/>
    <w:rsid w:val="00BA59E2"/>
    <w:rsid w:val="00BA7900"/>
    <w:rsid w:val="00BC0F7D"/>
    <w:rsid w:val="00BC4103"/>
    <w:rsid w:val="00BD3469"/>
    <w:rsid w:val="00BE2A72"/>
    <w:rsid w:val="00BE3255"/>
    <w:rsid w:val="00BE3B9C"/>
    <w:rsid w:val="00BF128E"/>
    <w:rsid w:val="00C02C5C"/>
    <w:rsid w:val="00C05DCE"/>
    <w:rsid w:val="00C1496A"/>
    <w:rsid w:val="00C15F7F"/>
    <w:rsid w:val="00C2281E"/>
    <w:rsid w:val="00C24837"/>
    <w:rsid w:val="00C26810"/>
    <w:rsid w:val="00C33079"/>
    <w:rsid w:val="00C34DDA"/>
    <w:rsid w:val="00C45231"/>
    <w:rsid w:val="00C63D49"/>
    <w:rsid w:val="00C72833"/>
    <w:rsid w:val="00C80F1D"/>
    <w:rsid w:val="00C82158"/>
    <w:rsid w:val="00C83BD4"/>
    <w:rsid w:val="00C9270B"/>
    <w:rsid w:val="00C93F40"/>
    <w:rsid w:val="00C95679"/>
    <w:rsid w:val="00C9693D"/>
    <w:rsid w:val="00CA3D0C"/>
    <w:rsid w:val="00CB51CC"/>
    <w:rsid w:val="00CD0983"/>
    <w:rsid w:val="00CD0EA6"/>
    <w:rsid w:val="00CD45C9"/>
    <w:rsid w:val="00CE4C40"/>
    <w:rsid w:val="00CF20E3"/>
    <w:rsid w:val="00D008D3"/>
    <w:rsid w:val="00D04514"/>
    <w:rsid w:val="00D07C26"/>
    <w:rsid w:val="00D17314"/>
    <w:rsid w:val="00D17573"/>
    <w:rsid w:val="00D3057E"/>
    <w:rsid w:val="00D309CC"/>
    <w:rsid w:val="00D46431"/>
    <w:rsid w:val="00D56A52"/>
    <w:rsid w:val="00D57972"/>
    <w:rsid w:val="00D675A9"/>
    <w:rsid w:val="00D738D6"/>
    <w:rsid w:val="00D755EB"/>
    <w:rsid w:val="00D820C4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A7A03"/>
    <w:rsid w:val="00DB1818"/>
    <w:rsid w:val="00DC309B"/>
    <w:rsid w:val="00DC4DA2"/>
    <w:rsid w:val="00DC7727"/>
    <w:rsid w:val="00DD03DF"/>
    <w:rsid w:val="00DD4C17"/>
    <w:rsid w:val="00DE676A"/>
    <w:rsid w:val="00DF2B1F"/>
    <w:rsid w:val="00DF6189"/>
    <w:rsid w:val="00DF62CD"/>
    <w:rsid w:val="00E00755"/>
    <w:rsid w:val="00E02E2B"/>
    <w:rsid w:val="00E068AE"/>
    <w:rsid w:val="00E144A6"/>
    <w:rsid w:val="00E16486"/>
    <w:rsid w:val="00E16509"/>
    <w:rsid w:val="00E22E04"/>
    <w:rsid w:val="00E44582"/>
    <w:rsid w:val="00E45E4A"/>
    <w:rsid w:val="00E52814"/>
    <w:rsid w:val="00E72324"/>
    <w:rsid w:val="00E72ABE"/>
    <w:rsid w:val="00E77645"/>
    <w:rsid w:val="00E84530"/>
    <w:rsid w:val="00E87309"/>
    <w:rsid w:val="00E87A96"/>
    <w:rsid w:val="00EB22F4"/>
    <w:rsid w:val="00EC3517"/>
    <w:rsid w:val="00EC454E"/>
    <w:rsid w:val="00EC4A25"/>
    <w:rsid w:val="00ED2E9E"/>
    <w:rsid w:val="00EE2719"/>
    <w:rsid w:val="00EE5AA7"/>
    <w:rsid w:val="00EF433E"/>
    <w:rsid w:val="00EF4B21"/>
    <w:rsid w:val="00F025A2"/>
    <w:rsid w:val="00F04712"/>
    <w:rsid w:val="00F064C8"/>
    <w:rsid w:val="00F07B00"/>
    <w:rsid w:val="00F1639A"/>
    <w:rsid w:val="00F20DA5"/>
    <w:rsid w:val="00F21311"/>
    <w:rsid w:val="00F22EC7"/>
    <w:rsid w:val="00F3025B"/>
    <w:rsid w:val="00F325C8"/>
    <w:rsid w:val="00F3263B"/>
    <w:rsid w:val="00F33616"/>
    <w:rsid w:val="00F54C0C"/>
    <w:rsid w:val="00F6199D"/>
    <w:rsid w:val="00F62AEB"/>
    <w:rsid w:val="00F63841"/>
    <w:rsid w:val="00F653B8"/>
    <w:rsid w:val="00F70647"/>
    <w:rsid w:val="00FA1266"/>
    <w:rsid w:val="00FA65D0"/>
    <w:rsid w:val="00FC1192"/>
    <w:rsid w:val="00FC41AB"/>
    <w:rsid w:val="00FD1E6E"/>
    <w:rsid w:val="00FD3696"/>
    <w:rsid w:val="00FE2A7F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314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C82158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C82158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0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3508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Yang Tang</cp:lastModifiedBy>
  <cp:revision>4</cp:revision>
  <cp:lastPrinted>2019-02-25T14:05:00Z</cp:lastPrinted>
  <dcterms:created xsi:type="dcterms:W3CDTF">2021-05-11T20:03:00Z</dcterms:created>
  <dcterms:modified xsi:type="dcterms:W3CDTF">2021-05-11T21:09:00Z</dcterms:modified>
  <cp:category/>
</cp:coreProperties>
</file>